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763"/>
        <w:gridCol w:w="1400"/>
        <w:gridCol w:w="1200"/>
      </w:tblGrid>
      <w:tr w:rsidR="00D6334C" w:rsidTr="00F57DF0">
        <w:tc>
          <w:tcPr>
            <w:tcW w:w="6760" w:type="dxa"/>
            <w:vMerge w:val="restart"/>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pPr>
              <w:spacing w:after="60"/>
              <w:jc w:val="center"/>
            </w:pPr>
            <w:r>
              <w:rPr>
                <w:b/>
                <w:bCs/>
                <w:sz w:val="20"/>
                <w:szCs w:val="20"/>
              </w:rPr>
              <w:t>İKTİSADİ VE İDARİ BİLİMLER FAKÜLTESİ</w:t>
            </w:r>
          </w:p>
          <w:p w:rsidR="00D6334C" w:rsidRDefault="00DA2F71">
            <w:pPr>
              <w:spacing w:after="60"/>
              <w:jc w:val="center"/>
            </w:pPr>
            <w:r>
              <w:rPr>
                <w:b/>
                <w:bCs/>
                <w:sz w:val="20"/>
                <w:szCs w:val="20"/>
              </w:rPr>
              <w:t>HAVACILIK YÖNETİMİ BÖLÜMÜ</w:t>
            </w:r>
          </w:p>
          <w:p w:rsidR="00D6334C" w:rsidRDefault="00D2012A">
            <w:pPr>
              <w:spacing w:after="60"/>
              <w:jc w:val="center"/>
            </w:pPr>
            <w:r>
              <w:rPr>
                <w:b/>
                <w:bCs/>
              </w:rPr>
              <w:t>KALİTE VE AKREDİTASYON KOMİSYONU</w:t>
            </w:r>
          </w:p>
          <w:p w:rsidR="00D6334C" w:rsidRDefault="00D2012A">
            <w:pPr>
              <w:jc w:val="center"/>
            </w:pPr>
            <w:r>
              <w:rPr>
                <w:b/>
                <w:bCs/>
              </w:rPr>
              <w:t>GÖREV TANIMI FORMU</w:t>
            </w:r>
          </w:p>
        </w:tc>
        <w:tc>
          <w:tcPr>
            <w:tcW w:w="14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r>
              <w:rPr>
                <w:sz w:val="16"/>
                <w:szCs w:val="16"/>
              </w:rPr>
              <w:t>Doküman No</w:t>
            </w:r>
          </w:p>
        </w:tc>
        <w:tc>
          <w:tcPr>
            <w:tcW w:w="12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A2F71">
            <w:r>
              <w:rPr>
                <w:sz w:val="16"/>
                <w:szCs w:val="16"/>
              </w:rPr>
              <w:t>HAV</w:t>
            </w:r>
            <w:r w:rsidR="00D2012A">
              <w:rPr>
                <w:sz w:val="16"/>
                <w:szCs w:val="16"/>
              </w:rPr>
              <w:t>-GT-001</w:t>
            </w:r>
          </w:p>
        </w:tc>
      </w:tr>
      <w:tr w:rsidR="00D6334C" w:rsidTr="00F57DF0">
        <w:tc>
          <w:tcPr>
            <w:tcW w:w="0" w:type="auto"/>
            <w:vMerge/>
            <w:tcBorders>
              <w:top w:val="single" w:sz="3" w:space="0" w:color="00A86B"/>
              <w:left w:val="single" w:sz="3" w:space="0" w:color="00A86B"/>
              <w:bottom w:val="single" w:sz="3" w:space="0" w:color="00A86B"/>
              <w:right w:val="single" w:sz="3" w:space="0" w:color="00A86B"/>
            </w:tcBorders>
          </w:tcPr>
          <w:p w:rsidR="00D6334C" w:rsidRDefault="00D6334C"/>
        </w:tc>
        <w:tc>
          <w:tcPr>
            <w:tcW w:w="14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r>
              <w:rPr>
                <w:sz w:val="16"/>
                <w:szCs w:val="16"/>
              </w:rPr>
              <w:t>İlk yayın tarihi</w:t>
            </w:r>
          </w:p>
        </w:tc>
        <w:tc>
          <w:tcPr>
            <w:tcW w:w="12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r>
              <w:rPr>
                <w:sz w:val="16"/>
                <w:szCs w:val="16"/>
              </w:rPr>
              <w:t>11.05.2026</w:t>
            </w:r>
          </w:p>
        </w:tc>
      </w:tr>
      <w:tr w:rsidR="00D6334C" w:rsidTr="00F57DF0">
        <w:tc>
          <w:tcPr>
            <w:tcW w:w="0" w:type="auto"/>
            <w:vMerge/>
            <w:tcBorders>
              <w:top w:val="single" w:sz="3" w:space="0" w:color="00A86B"/>
              <w:left w:val="single" w:sz="3" w:space="0" w:color="00A86B"/>
              <w:bottom w:val="single" w:sz="3" w:space="0" w:color="00A86B"/>
              <w:right w:val="single" w:sz="3" w:space="0" w:color="00A86B"/>
            </w:tcBorders>
          </w:tcPr>
          <w:p w:rsidR="00D6334C" w:rsidRDefault="00D6334C"/>
        </w:tc>
        <w:tc>
          <w:tcPr>
            <w:tcW w:w="14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proofErr w:type="spellStart"/>
            <w:r>
              <w:rPr>
                <w:sz w:val="16"/>
                <w:szCs w:val="16"/>
              </w:rPr>
              <w:t>Rev</w:t>
            </w:r>
            <w:proofErr w:type="spellEnd"/>
            <w:r>
              <w:rPr>
                <w:sz w:val="16"/>
                <w:szCs w:val="16"/>
              </w:rPr>
              <w:t>. No / Tarih</w:t>
            </w:r>
          </w:p>
        </w:tc>
        <w:tc>
          <w:tcPr>
            <w:tcW w:w="12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6334C"/>
        </w:tc>
      </w:tr>
      <w:tr w:rsidR="00D6334C" w:rsidTr="00F57DF0">
        <w:tc>
          <w:tcPr>
            <w:tcW w:w="0" w:type="auto"/>
            <w:vMerge/>
            <w:tcBorders>
              <w:top w:val="single" w:sz="3" w:space="0" w:color="00A86B"/>
              <w:left w:val="single" w:sz="3" w:space="0" w:color="00A86B"/>
              <w:bottom w:val="single" w:sz="3" w:space="0" w:color="00A86B"/>
              <w:right w:val="single" w:sz="3" w:space="0" w:color="00A86B"/>
            </w:tcBorders>
          </w:tcPr>
          <w:p w:rsidR="00D6334C" w:rsidRDefault="00D6334C"/>
        </w:tc>
        <w:tc>
          <w:tcPr>
            <w:tcW w:w="14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r>
              <w:rPr>
                <w:sz w:val="16"/>
                <w:szCs w:val="16"/>
              </w:rPr>
              <w:t>Sayfa sayısı</w:t>
            </w:r>
          </w:p>
        </w:tc>
        <w:tc>
          <w:tcPr>
            <w:tcW w:w="120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vAlign w:val="center"/>
          </w:tcPr>
          <w:p w:rsidR="00D6334C" w:rsidRDefault="00D2012A">
            <w:r>
              <w:rPr>
                <w:sz w:val="16"/>
                <w:szCs w:val="16"/>
              </w:rPr>
              <w:t>1/1</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Görev</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rsidP="0079310D">
            <w:pPr>
              <w:spacing w:after="40"/>
              <w:jc w:val="both"/>
            </w:pPr>
            <w:r>
              <w:t>Bölümdeki eğitim, araştırma ve yönetim süreçlerinin kalite standartlarına uygun olarak yürütülmesini sağlamak, STAR ve YÖKAK akreditasyon kriterlerini karşılamak, SWOT ve risk analizlerine dayalı stratejik izleme gerçekleştirmek ve sürekli iyileştirme döngüsü ile bölümün performansını geliştirmektir.</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Üstü</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pPr>
              <w:spacing w:after="40"/>
            </w:pPr>
            <w:r>
              <w:t>Bölüm Başkanı</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Vekili</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pPr>
              <w:spacing w:after="40"/>
            </w:pPr>
            <w:r>
              <w:t>Komisyon Başkanı</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Nitelikler</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pPr>
              <w:spacing w:after="30"/>
              <w:ind w:left="360" w:hanging="200"/>
            </w:pPr>
            <w:r>
              <w:t>● Görevin gerektirdiği ilgili yönetmelik ve yönergeleri bilmek.</w:t>
            </w:r>
          </w:p>
          <w:p w:rsidR="00D6334C" w:rsidRDefault="00D2012A">
            <w:pPr>
              <w:spacing w:after="30"/>
              <w:ind w:left="360" w:hanging="200"/>
            </w:pPr>
            <w:r>
              <w:t>● Kalite güvence sistemleri ve akreditasyon süreçleri hakkında kapsamlı bilgi sahibi olmak.</w:t>
            </w:r>
          </w:p>
          <w:p w:rsidR="00D6334C" w:rsidRDefault="00D2012A">
            <w:pPr>
              <w:spacing w:after="30"/>
              <w:ind w:left="360" w:hanging="200"/>
            </w:pPr>
            <w:r>
              <w:t>● Gerekli bilgisayar programlarının kullanımını bilmek.</w:t>
            </w:r>
          </w:p>
          <w:p w:rsidR="00D6334C" w:rsidRDefault="00D2012A">
            <w:pPr>
              <w:spacing w:after="30"/>
              <w:ind w:left="360" w:hanging="200"/>
            </w:pPr>
            <w:r>
              <w:t>● PUKÖ döngüsü ve süreç yönetimi konularında deneyimli olmak.</w:t>
            </w:r>
          </w:p>
          <w:p w:rsidR="00D6334C" w:rsidRDefault="00D2012A">
            <w:pPr>
              <w:spacing w:after="30"/>
              <w:ind w:left="360" w:hanging="200"/>
            </w:pPr>
            <w:r>
              <w:t>● SWOT analizi, risk değerlendirme ve stratejik planlama yöntemlerini bilmek.</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İlgili Mevzuat</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pPr>
              <w:spacing w:after="30"/>
              <w:ind w:left="360" w:hanging="200"/>
            </w:pPr>
            <w:r>
              <w:t>● Yükseköğretim Kalite Güvencesi ve Yükseköğretim Kalite Kurulu Yönetmeliği</w:t>
            </w:r>
          </w:p>
          <w:p w:rsidR="00D6334C" w:rsidRDefault="00D2012A">
            <w:pPr>
              <w:spacing w:after="30"/>
              <w:ind w:left="360" w:hanging="200"/>
            </w:pPr>
            <w:r>
              <w:t>● Iğdır Üniversitesi Kalite Güvence Yönergesi</w:t>
            </w:r>
          </w:p>
          <w:p w:rsidR="00D6334C" w:rsidRDefault="00D2012A">
            <w:pPr>
              <w:spacing w:after="30"/>
              <w:ind w:left="360" w:hanging="200"/>
            </w:pPr>
            <w:r>
              <w:t>● STAR Akreditasyon Değerlendirme Kılavuzu</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Görev ve Sorumluluklar</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pPr>
              <w:spacing w:after="30"/>
              <w:ind w:left="360" w:hanging="200"/>
            </w:pPr>
            <w:r>
              <w:t>● Ders içeriklerinin güncelliğini ve program çıktılarıyla uyumunu periyodik olarak denetlemek.</w:t>
            </w:r>
          </w:p>
          <w:p w:rsidR="00D6334C" w:rsidRDefault="00D2012A">
            <w:pPr>
              <w:spacing w:after="30"/>
              <w:ind w:left="360" w:hanging="200"/>
            </w:pPr>
            <w:r>
              <w:t>● Program eğitim amaçları (PEA) ve program öğrenme çıktılarının (PÖÇ) belirlenmesi, izlenmesi ve güncellenmesi süreçlerini koordine etmek.</w:t>
            </w:r>
          </w:p>
          <w:p w:rsidR="00D6334C" w:rsidRDefault="00D2012A">
            <w:pPr>
              <w:spacing w:after="30"/>
              <w:ind w:left="360" w:hanging="200"/>
            </w:pPr>
            <w:r>
              <w:t>● Ders-öğrenme kazanımı uyumunu (Bologna süreci) kontrol etmek ve uyumsuzluk tespit edilen dersleri raporlamak.</w:t>
            </w:r>
          </w:p>
          <w:p w:rsidR="00D6334C" w:rsidRDefault="00D2012A">
            <w:pPr>
              <w:spacing w:after="30"/>
              <w:ind w:left="360" w:hanging="200"/>
            </w:pPr>
            <w:r>
              <w:t>● Bölümün STAR akreditasyon başvuru dosyasını hazırlamak ve süreci yönetmek.</w:t>
            </w:r>
          </w:p>
          <w:p w:rsidR="00D6334C" w:rsidRDefault="00D2012A">
            <w:pPr>
              <w:spacing w:after="30"/>
              <w:ind w:left="360" w:hanging="200"/>
            </w:pPr>
            <w:r>
              <w:t>● Akreditasyon kriterlerine uyumu sağlamak için diğer komisyonlarla koordineli çalışmak.</w:t>
            </w:r>
          </w:p>
          <w:p w:rsidR="00D6334C" w:rsidRDefault="00D2012A">
            <w:pPr>
              <w:spacing w:after="30"/>
              <w:ind w:left="360" w:hanging="200"/>
            </w:pPr>
            <w:r>
              <w:t>● Yıllık Birim İç Değerlendirme Raporu (BİDR) ve KİDR katkı raporunu hazırlamak.</w:t>
            </w:r>
          </w:p>
          <w:p w:rsidR="00D6334C" w:rsidRDefault="00D2012A">
            <w:pPr>
              <w:spacing w:after="30"/>
              <w:ind w:left="360" w:hanging="200"/>
            </w:pPr>
            <w:r>
              <w:t>● Ders değerlendirme anketlerini analiz ederek sonuçları ilgili komisyonlarla paylaşmak.</w:t>
            </w:r>
          </w:p>
          <w:p w:rsidR="00D6334C" w:rsidRDefault="00D2012A">
            <w:pPr>
              <w:spacing w:after="30"/>
              <w:ind w:left="360" w:hanging="200"/>
            </w:pPr>
            <w:r>
              <w:t>● Mezun, öğrenci ve işveren geri bildirimlerini sistematik biçimde değerlendirmek.</w:t>
            </w:r>
          </w:p>
          <w:p w:rsidR="00D6334C" w:rsidRDefault="00D2012A">
            <w:pPr>
              <w:spacing w:after="30"/>
              <w:ind w:left="360" w:hanging="200"/>
            </w:pPr>
            <w:r>
              <w:t>● Sürekli iyileştirme anlayışını bölüm genelinde yaygınlaştırmak ve farkındalık etkinlikleri düzenlemek.</w:t>
            </w:r>
          </w:p>
          <w:p w:rsidR="00D6334C" w:rsidRDefault="00D2012A">
            <w:pPr>
              <w:spacing w:after="30"/>
              <w:ind w:left="360" w:hanging="200"/>
            </w:pPr>
            <w:r>
              <w:t>● Akreditasyon dosyalarını hazırlamak, güncel tutmak ve kanıt belgelerini arşivlemek.</w:t>
            </w:r>
          </w:p>
          <w:p w:rsidR="00D6334C" w:rsidRDefault="00D2012A">
            <w:pPr>
              <w:spacing w:after="30"/>
              <w:ind w:left="360" w:hanging="200"/>
            </w:pPr>
            <w:r>
              <w:t>● PEA x PÖÇ x DÖÇ matrislerinin tutarlılığını denetlemek ve güncellenmesini sağlamak.</w:t>
            </w:r>
          </w:p>
          <w:p w:rsidR="00D6334C" w:rsidRDefault="00D2012A">
            <w:pPr>
              <w:spacing w:after="30"/>
              <w:ind w:left="360" w:hanging="200"/>
            </w:pPr>
            <w:r>
              <w:t>● YÖKAK kalite göstergeleri çerçevesinde bölüm performans verilerini derlemek.</w:t>
            </w:r>
          </w:p>
          <w:p w:rsidR="00D6334C" w:rsidRDefault="00D2012A">
            <w:pPr>
              <w:spacing w:after="30"/>
              <w:ind w:left="360" w:hanging="200"/>
            </w:pPr>
            <w:r>
              <w:t xml:space="preserve">● Diğer komisyonların yıllık faaliyet raporlarını </w:t>
            </w:r>
            <w:proofErr w:type="gramStart"/>
            <w:r>
              <w:t>konsolide</w:t>
            </w:r>
            <w:proofErr w:type="gramEnd"/>
            <w:r>
              <w:t xml:space="preserve"> ederek genel kalite raporunu oluşturmak.</w:t>
            </w:r>
          </w:p>
          <w:p w:rsidR="00D6334C" w:rsidRDefault="00D2012A">
            <w:pPr>
              <w:spacing w:after="30"/>
              <w:ind w:left="360" w:hanging="200"/>
            </w:pPr>
            <w:r>
              <w:t>● Akreditasyon kuruluşunun ziyaret sürecine hazırlık çalışmalarını planlamak ve yürütmek.</w:t>
            </w:r>
          </w:p>
          <w:p w:rsidR="00D6334C" w:rsidRDefault="00D2012A">
            <w:pPr>
              <w:spacing w:after="30"/>
              <w:ind w:left="360" w:hanging="200"/>
            </w:pPr>
            <w:r>
              <w:t xml:space="preserve">● Bölüm SWOT analizini yılda en az 2 kez güncellemek ve risk değerlendirme tablosunu revize etmek (Hedef </w:t>
            </w:r>
            <w:proofErr w:type="gramStart"/>
            <w:r>
              <w:t>4.1</w:t>
            </w:r>
            <w:proofErr w:type="gramEnd"/>
            <w:r>
              <w:t>).</w:t>
            </w:r>
          </w:p>
          <w:p w:rsidR="00D6334C" w:rsidRDefault="00D2012A">
            <w:pPr>
              <w:spacing w:after="30"/>
              <w:ind w:left="360" w:hanging="200"/>
            </w:pPr>
            <w:r>
              <w:t>● Paydaş memnuniyet anketlerini yılda 2 kez uygulamak; öğrenci memnuniyet oranını %92 hedefine taşımak (Hedef 4.1).</w:t>
            </w:r>
          </w:p>
          <w:p w:rsidR="00D6334C" w:rsidRDefault="00D2012A">
            <w:pPr>
              <w:spacing w:after="30"/>
              <w:ind w:left="360" w:hanging="200"/>
            </w:pPr>
            <w:r>
              <w:t>● Stratejik Plan 2026-2030 kapsamında 26 performans göstergesinin 6 aylık izleme raporlarını hazırlamak (PUKÖ).</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rsidR="00D6334C" w:rsidRDefault="00D2012A">
            <w:r>
              <w:rPr>
                <w:b/>
                <w:bCs/>
              </w:rPr>
              <w:t>KYS Kapsamında Görev ve Sorumluluklar</w:t>
            </w:r>
          </w:p>
        </w:tc>
      </w:tr>
      <w:tr w:rsidR="00D6334C" w:rsidTr="00F57DF0">
        <w:tc>
          <w:tcPr>
            <w:tcW w:w="9360"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6334C" w:rsidRDefault="00D2012A">
            <w:pPr>
              <w:spacing w:after="30"/>
              <w:ind w:left="360" w:hanging="200"/>
            </w:pPr>
            <w:r>
              <w:t>● Birim kalite politikalarının üniversite KYS hedefleri ile uyumlu olmasını sağlamak.</w:t>
            </w:r>
          </w:p>
          <w:p w:rsidR="00D6334C" w:rsidRDefault="00D2012A">
            <w:pPr>
              <w:spacing w:after="30"/>
              <w:ind w:left="360" w:hanging="200"/>
            </w:pPr>
            <w:r>
              <w:t>● Akademik ve idari personele KYS süreçleri hakkında düzenli bilgilendirmeler yapmak.</w:t>
            </w:r>
          </w:p>
          <w:p w:rsidR="00D6334C" w:rsidRDefault="00D2012A">
            <w:pPr>
              <w:spacing w:after="30"/>
              <w:ind w:left="360" w:hanging="200"/>
            </w:pPr>
            <w:r>
              <w:t>● Bölümün kısa ve uzun vadeli kalite hedeflerini oluşturmak ve güncellemek.</w:t>
            </w:r>
          </w:p>
          <w:p w:rsidR="00D6334C" w:rsidRDefault="00D2012A">
            <w:pPr>
              <w:spacing w:after="30"/>
              <w:ind w:left="360" w:hanging="200"/>
            </w:pPr>
            <w:r>
              <w:t>● Süreç akışlarını belgelemek ve gerekli prosedürleri hazırlamak.</w:t>
            </w:r>
          </w:p>
          <w:p w:rsidR="00D6334C" w:rsidRDefault="00D2012A">
            <w:pPr>
              <w:spacing w:after="30"/>
              <w:ind w:left="360" w:hanging="200"/>
            </w:pPr>
            <w:r>
              <w:t>● KYS kapsamında toplanan verilerin analizini yapmak ve periyodik raporlar hazırlamak.</w:t>
            </w:r>
          </w:p>
          <w:p w:rsidR="00D6334C" w:rsidRDefault="00D2012A">
            <w:pPr>
              <w:spacing w:after="30"/>
              <w:ind w:left="360" w:hanging="200"/>
            </w:pPr>
            <w:r>
              <w:t>● İç ve dış denetim bulgularını takip ederek düzeltici faaliyet planlarını oluşturmak.</w:t>
            </w:r>
          </w:p>
          <w:p w:rsidR="00D6334C" w:rsidRDefault="00D2012A">
            <w:pPr>
              <w:spacing w:after="30"/>
              <w:ind w:left="360" w:hanging="200"/>
            </w:pPr>
            <w:r>
              <w:t>● Kurumsallaşma eksikliklerini (SWOT Z4, T6) giderici kurumsal prosedürleri oluşturmak ve uygulanmasını izlemek.</w:t>
            </w:r>
          </w:p>
        </w:tc>
      </w:tr>
    </w:tbl>
    <w:p w:rsidR="00D6334C" w:rsidRDefault="00D6334C">
      <w:pPr>
        <w:spacing w:before="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0"/>
        <w:gridCol w:w="3120"/>
        <w:gridCol w:w="3120"/>
      </w:tblGrid>
      <w:tr w:rsidR="00D6334C">
        <w:tc>
          <w:tcPr>
            <w:tcW w:w="3120" w:type="dxa"/>
            <w:tcBorders>
              <w:top w:val="single" w:sz="3" w:space="0" w:color="00A86B"/>
              <w:left w:val="single" w:sz="3" w:space="0" w:color="00A86B"/>
              <w:bottom w:val="single" w:sz="3" w:space="0" w:color="00A86B"/>
              <w:right w:val="single" w:sz="3" w:space="0" w:color="00A86B"/>
            </w:tcBorders>
            <w:shd w:val="clear" w:color="auto" w:fill="F2F2F2"/>
            <w:tcMar>
              <w:top w:w="40" w:type="dxa"/>
              <w:left w:w="80" w:type="dxa"/>
              <w:bottom w:w="40" w:type="dxa"/>
              <w:right w:w="80" w:type="dxa"/>
            </w:tcMar>
          </w:tcPr>
          <w:p w:rsidR="00D6334C" w:rsidRDefault="00D2012A">
            <w:pPr>
              <w:jc w:val="center"/>
            </w:pPr>
            <w:r>
              <w:rPr>
                <w:b/>
                <w:bCs/>
                <w:sz w:val="16"/>
                <w:szCs w:val="16"/>
              </w:rPr>
              <w:t>Hazırlayan (Komisyon Üyesi)</w:t>
            </w:r>
          </w:p>
        </w:tc>
        <w:tc>
          <w:tcPr>
            <w:tcW w:w="3120" w:type="dxa"/>
            <w:tcBorders>
              <w:top w:val="single" w:sz="3" w:space="0" w:color="00A86B"/>
              <w:left w:val="single" w:sz="3" w:space="0" w:color="00A86B"/>
              <w:bottom w:val="single" w:sz="3" w:space="0" w:color="00A86B"/>
              <w:right w:val="single" w:sz="3" w:space="0" w:color="00A86B"/>
            </w:tcBorders>
            <w:shd w:val="clear" w:color="auto" w:fill="F2F2F2"/>
            <w:tcMar>
              <w:top w:w="40" w:type="dxa"/>
              <w:left w:w="80" w:type="dxa"/>
              <w:bottom w:w="40" w:type="dxa"/>
              <w:right w:w="80" w:type="dxa"/>
            </w:tcMar>
          </w:tcPr>
          <w:p w:rsidR="00D6334C" w:rsidRDefault="00D2012A">
            <w:pPr>
              <w:jc w:val="center"/>
            </w:pPr>
            <w:r>
              <w:rPr>
                <w:b/>
                <w:bCs/>
                <w:sz w:val="16"/>
                <w:szCs w:val="16"/>
              </w:rPr>
              <w:t>Kontrol Eden (Bölüm Başkan Yrd.)</w:t>
            </w:r>
          </w:p>
        </w:tc>
        <w:tc>
          <w:tcPr>
            <w:tcW w:w="3120" w:type="dxa"/>
            <w:tcBorders>
              <w:top w:val="single" w:sz="3" w:space="0" w:color="00A86B"/>
              <w:left w:val="single" w:sz="3" w:space="0" w:color="00A86B"/>
              <w:bottom w:val="single" w:sz="3" w:space="0" w:color="00A86B"/>
              <w:right w:val="single" w:sz="3" w:space="0" w:color="00A86B"/>
            </w:tcBorders>
            <w:shd w:val="clear" w:color="auto" w:fill="F2F2F2"/>
            <w:tcMar>
              <w:top w:w="40" w:type="dxa"/>
              <w:left w:w="80" w:type="dxa"/>
              <w:bottom w:w="40" w:type="dxa"/>
              <w:right w:w="80" w:type="dxa"/>
            </w:tcMar>
          </w:tcPr>
          <w:p w:rsidR="00D6334C" w:rsidRDefault="00D2012A">
            <w:pPr>
              <w:jc w:val="center"/>
            </w:pPr>
            <w:r>
              <w:rPr>
                <w:b/>
                <w:bCs/>
                <w:sz w:val="16"/>
                <w:szCs w:val="16"/>
              </w:rPr>
              <w:t>Onaylayan (Bölüm Başkanı)</w:t>
            </w:r>
          </w:p>
        </w:tc>
      </w:tr>
      <w:tr w:rsidR="00FD75C8">
        <w:tc>
          <w:tcPr>
            <w:tcW w:w="312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tcPr>
          <w:p w:rsidR="00FD75C8" w:rsidRDefault="00FD75C8" w:rsidP="00FD75C8">
            <w:pPr>
              <w:spacing w:before="100" w:after="100"/>
              <w:jc w:val="center"/>
            </w:pPr>
            <w:r>
              <w:t>Arş. Gör. Erdi BOZKIR</w:t>
            </w:r>
          </w:p>
        </w:tc>
        <w:tc>
          <w:tcPr>
            <w:tcW w:w="312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tcPr>
          <w:p w:rsidR="00FD75C8" w:rsidRDefault="00FD75C8" w:rsidP="00FD75C8">
            <w:pPr>
              <w:spacing w:after="100"/>
              <w:jc w:val="center"/>
            </w:pPr>
            <w:r>
              <w:t>Dr. Öğr. Üyesi Hacı Yusuf GÜNGÖR</w:t>
            </w:r>
          </w:p>
        </w:tc>
        <w:tc>
          <w:tcPr>
            <w:tcW w:w="3120" w:type="dxa"/>
            <w:tcBorders>
              <w:top w:val="single" w:sz="3" w:space="0" w:color="00A86B"/>
              <w:left w:val="single" w:sz="3" w:space="0" w:color="00A86B"/>
              <w:bottom w:val="single" w:sz="3" w:space="0" w:color="00A86B"/>
              <w:right w:val="single" w:sz="3" w:space="0" w:color="00A86B"/>
            </w:tcBorders>
            <w:tcMar>
              <w:top w:w="40" w:type="dxa"/>
              <w:left w:w="80" w:type="dxa"/>
              <w:bottom w:w="40" w:type="dxa"/>
              <w:right w:w="80" w:type="dxa"/>
            </w:tcMar>
          </w:tcPr>
          <w:p w:rsidR="00FD75C8" w:rsidRDefault="00FD75C8" w:rsidP="00FD75C8">
            <w:pPr>
              <w:spacing w:before="100" w:after="100"/>
              <w:jc w:val="center"/>
            </w:pPr>
            <w:r>
              <w:t>Doç. Dr. Selçuk GÜRÇAM</w:t>
            </w:r>
          </w:p>
        </w:tc>
      </w:tr>
    </w:tbl>
    <w:p w:rsidR="007F68CB" w:rsidRDefault="007F68CB"/>
    <w:sectPr w:rsidR="007F68CB" w:rsidSect="00EE367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6D06"/>
    <w:multiLevelType w:val="hybridMultilevel"/>
    <w:tmpl w:val="A33A9130"/>
    <w:lvl w:ilvl="0" w:tplc="6066AFF4">
      <w:start w:val="1"/>
      <w:numFmt w:val="bullet"/>
      <w:lvlText w:val="●"/>
      <w:lvlJc w:val="left"/>
      <w:pPr>
        <w:ind w:left="720" w:hanging="360"/>
      </w:pPr>
    </w:lvl>
    <w:lvl w:ilvl="1" w:tplc="BA12D6DE">
      <w:start w:val="1"/>
      <w:numFmt w:val="bullet"/>
      <w:lvlText w:val="○"/>
      <w:lvlJc w:val="left"/>
      <w:pPr>
        <w:ind w:left="1440" w:hanging="360"/>
      </w:pPr>
    </w:lvl>
    <w:lvl w:ilvl="2" w:tplc="B6A0A6F2">
      <w:start w:val="1"/>
      <w:numFmt w:val="bullet"/>
      <w:lvlText w:val="■"/>
      <w:lvlJc w:val="left"/>
      <w:pPr>
        <w:ind w:left="2160" w:hanging="360"/>
      </w:pPr>
    </w:lvl>
    <w:lvl w:ilvl="3" w:tplc="01FA2914">
      <w:start w:val="1"/>
      <w:numFmt w:val="bullet"/>
      <w:lvlText w:val="●"/>
      <w:lvlJc w:val="left"/>
      <w:pPr>
        <w:ind w:left="2880" w:hanging="360"/>
      </w:pPr>
    </w:lvl>
    <w:lvl w:ilvl="4" w:tplc="5DB2FE88">
      <w:start w:val="1"/>
      <w:numFmt w:val="bullet"/>
      <w:lvlText w:val="○"/>
      <w:lvlJc w:val="left"/>
      <w:pPr>
        <w:ind w:left="3600" w:hanging="360"/>
      </w:pPr>
    </w:lvl>
    <w:lvl w:ilvl="5" w:tplc="2D8A84A0">
      <w:start w:val="1"/>
      <w:numFmt w:val="bullet"/>
      <w:lvlText w:val="■"/>
      <w:lvlJc w:val="left"/>
      <w:pPr>
        <w:ind w:left="4320" w:hanging="360"/>
      </w:pPr>
    </w:lvl>
    <w:lvl w:ilvl="6" w:tplc="52248688">
      <w:start w:val="1"/>
      <w:numFmt w:val="bullet"/>
      <w:lvlText w:val="●"/>
      <w:lvlJc w:val="left"/>
      <w:pPr>
        <w:ind w:left="5040" w:hanging="360"/>
      </w:pPr>
    </w:lvl>
    <w:lvl w:ilvl="7" w:tplc="83E2DFCC">
      <w:start w:val="1"/>
      <w:numFmt w:val="bullet"/>
      <w:lvlText w:val="●"/>
      <w:lvlJc w:val="left"/>
      <w:pPr>
        <w:ind w:left="5760" w:hanging="360"/>
      </w:pPr>
    </w:lvl>
    <w:lvl w:ilvl="8" w:tplc="3B1066A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6334C"/>
    <w:rsid w:val="0079310D"/>
    <w:rsid w:val="007F68CB"/>
    <w:rsid w:val="00A72DB8"/>
    <w:rsid w:val="00C25659"/>
    <w:rsid w:val="00D2012A"/>
    <w:rsid w:val="00D6334C"/>
    <w:rsid w:val="00DA2F71"/>
    <w:rsid w:val="00EE3671"/>
    <w:rsid w:val="00F57DF0"/>
    <w:rsid w:val="00FD75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18"/>
        <w:szCs w:val="18"/>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671"/>
  </w:style>
  <w:style w:type="paragraph" w:styleId="Balk1">
    <w:name w:val="heading 1"/>
    <w:uiPriority w:val="9"/>
    <w:qFormat/>
    <w:rsid w:val="00EE3671"/>
    <w:pPr>
      <w:outlineLvl w:val="0"/>
    </w:pPr>
    <w:rPr>
      <w:color w:val="2E74B5"/>
      <w:sz w:val="32"/>
      <w:szCs w:val="32"/>
    </w:rPr>
  </w:style>
  <w:style w:type="paragraph" w:styleId="Balk2">
    <w:name w:val="heading 2"/>
    <w:uiPriority w:val="9"/>
    <w:semiHidden/>
    <w:unhideWhenUsed/>
    <w:qFormat/>
    <w:rsid w:val="00EE3671"/>
    <w:pPr>
      <w:outlineLvl w:val="1"/>
    </w:pPr>
    <w:rPr>
      <w:color w:val="2E74B5"/>
      <w:sz w:val="26"/>
      <w:szCs w:val="26"/>
    </w:rPr>
  </w:style>
  <w:style w:type="paragraph" w:styleId="Balk3">
    <w:name w:val="heading 3"/>
    <w:uiPriority w:val="9"/>
    <w:semiHidden/>
    <w:unhideWhenUsed/>
    <w:qFormat/>
    <w:rsid w:val="00EE3671"/>
    <w:pPr>
      <w:outlineLvl w:val="2"/>
    </w:pPr>
    <w:rPr>
      <w:color w:val="1F4D78"/>
      <w:sz w:val="24"/>
      <w:szCs w:val="24"/>
    </w:rPr>
  </w:style>
  <w:style w:type="paragraph" w:styleId="Balk4">
    <w:name w:val="heading 4"/>
    <w:uiPriority w:val="9"/>
    <w:semiHidden/>
    <w:unhideWhenUsed/>
    <w:qFormat/>
    <w:rsid w:val="00EE3671"/>
    <w:pPr>
      <w:outlineLvl w:val="3"/>
    </w:pPr>
    <w:rPr>
      <w:i/>
      <w:iCs/>
      <w:color w:val="2E74B5"/>
    </w:rPr>
  </w:style>
  <w:style w:type="paragraph" w:styleId="Balk5">
    <w:name w:val="heading 5"/>
    <w:uiPriority w:val="9"/>
    <w:semiHidden/>
    <w:unhideWhenUsed/>
    <w:qFormat/>
    <w:rsid w:val="00EE3671"/>
    <w:pPr>
      <w:outlineLvl w:val="4"/>
    </w:pPr>
    <w:rPr>
      <w:color w:val="2E74B5"/>
    </w:rPr>
  </w:style>
  <w:style w:type="paragraph" w:styleId="Balk6">
    <w:name w:val="heading 6"/>
    <w:uiPriority w:val="9"/>
    <w:semiHidden/>
    <w:unhideWhenUsed/>
    <w:qFormat/>
    <w:rsid w:val="00EE3671"/>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sid w:val="00EE3671"/>
    <w:rPr>
      <w:sz w:val="56"/>
      <w:szCs w:val="56"/>
    </w:rPr>
  </w:style>
  <w:style w:type="paragraph" w:customStyle="1" w:styleId="Gl1">
    <w:name w:val="Güçlü1"/>
    <w:qFormat/>
    <w:rsid w:val="00EE3671"/>
    <w:rPr>
      <w:b/>
      <w:bCs/>
    </w:rPr>
  </w:style>
  <w:style w:type="paragraph" w:styleId="ListeParagraf">
    <w:name w:val="List Paragraph"/>
    <w:qFormat/>
    <w:rsid w:val="00EE3671"/>
  </w:style>
  <w:style w:type="character" w:styleId="Kpr">
    <w:name w:val="Hyperlink"/>
    <w:uiPriority w:val="99"/>
    <w:unhideWhenUsed/>
    <w:rsid w:val="00EE3671"/>
    <w:rPr>
      <w:color w:val="0563C1"/>
      <w:u w:val="single"/>
    </w:rPr>
  </w:style>
  <w:style w:type="character" w:styleId="DipnotBavurusu">
    <w:name w:val="footnote reference"/>
    <w:uiPriority w:val="99"/>
    <w:semiHidden/>
    <w:unhideWhenUsed/>
    <w:rsid w:val="00EE3671"/>
    <w:rPr>
      <w:vertAlign w:val="superscript"/>
    </w:rPr>
  </w:style>
  <w:style w:type="paragraph" w:styleId="DipnotMetni">
    <w:name w:val="footnote text"/>
    <w:link w:val="DipnotMetniChar"/>
    <w:uiPriority w:val="99"/>
    <w:semiHidden/>
    <w:unhideWhenUsed/>
    <w:rsid w:val="00EE3671"/>
    <w:rPr>
      <w:sz w:val="20"/>
      <w:szCs w:val="20"/>
    </w:rPr>
  </w:style>
  <w:style w:type="character" w:customStyle="1" w:styleId="DipnotMetniChar">
    <w:name w:val="Dipnot Metni Char"/>
    <w:link w:val="DipnotMetni"/>
    <w:uiPriority w:val="99"/>
    <w:semiHidden/>
    <w:unhideWhenUsed/>
    <w:rsid w:val="00EE3671"/>
    <w:rPr>
      <w:sz w:val="20"/>
      <w:szCs w:val="20"/>
    </w:rPr>
  </w:style>
  <w:style w:type="character" w:styleId="SonnotBavurusu">
    <w:name w:val="endnote reference"/>
    <w:uiPriority w:val="99"/>
    <w:semiHidden/>
    <w:unhideWhenUsed/>
    <w:rsid w:val="00EE3671"/>
    <w:rPr>
      <w:vertAlign w:val="superscript"/>
    </w:rPr>
  </w:style>
  <w:style w:type="paragraph" w:styleId="SonnotMetni">
    <w:name w:val="endnote text"/>
    <w:link w:val="SonnotMetniChar"/>
    <w:uiPriority w:val="99"/>
    <w:semiHidden/>
    <w:unhideWhenUsed/>
    <w:rsid w:val="00EE3671"/>
    <w:rPr>
      <w:sz w:val="20"/>
      <w:szCs w:val="20"/>
    </w:rPr>
  </w:style>
  <w:style w:type="character" w:customStyle="1" w:styleId="SonnotMetniChar">
    <w:name w:val="Sonnot Metni Char"/>
    <w:link w:val="SonnotMetni"/>
    <w:uiPriority w:val="99"/>
    <w:semiHidden/>
    <w:unhideWhenUsed/>
    <w:rsid w:val="00EE3671"/>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Selçuk Gürçam</cp:lastModifiedBy>
  <cp:revision>5</cp:revision>
  <dcterms:created xsi:type="dcterms:W3CDTF">2026-05-06T05:58:00Z</dcterms:created>
  <dcterms:modified xsi:type="dcterms:W3CDTF">2026-05-14T17:30:00Z</dcterms:modified>
</cp:coreProperties>
</file>