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E309BE" w14:paraId="5D2E49FC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9F6" w14:textId="77777777" w:rsidR="00E309BE" w:rsidRDefault="00343E5A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5D2E49F7" w14:textId="5F475EC2" w:rsidR="00E309BE" w:rsidRDefault="00A70161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343E5A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5D2E49F8" w14:textId="77777777" w:rsidR="00E309BE" w:rsidRDefault="00343E5A">
            <w:pPr>
              <w:spacing w:after="60"/>
              <w:jc w:val="center"/>
            </w:pPr>
            <w:r>
              <w:rPr>
                <w:b/>
                <w:bCs/>
              </w:rPr>
              <w:t>MUAFİYET (İNTİBAK) KOMİSYONU</w:t>
            </w:r>
          </w:p>
          <w:p w14:paraId="5D2E49F9" w14:textId="77777777" w:rsidR="00E309BE" w:rsidRDefault="00343E5A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9FA" w14:textId="77777777" w:rsidR="00E309BE" w:rsidRDefault="00343E5A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9FB" w14:textId="11850BD7" w:rsidR="00E309BE" w:rsidRDefault="00A70161">
            <w:r>
              <w:rPr>
                <w:sz w:val="16"/>
                <w:szCs w:val="16"/>
              </w:rPr>
              <w:t>HAV</w:t>
            </w:r>
            <w:r w:rsidR="00343E5A">
              <w:rPr>
                <w:sz w:val="16"/>
                <w:szCs w:val="16"/>
              </w:rPr>
              <w:t>-</w:t>
            </w:r>
            <w:proofErr w:type="spellStart"/>
            <w:r w:rsidR="00343E5A">
              <w:rPr>
                <w:sz w:val="16"/>
                <w:szCs w:val="16"/>
              </w:rPr>
              <w:t>GT</w:t>
            </w:r>
            <w:proofErr w:type="spellEnd"/>
            <w:r w:rsidR="00343E5A">
              <w:rPr>
                <w:sz w:val="16"/>
                <w:szCs w:val="16"/>
              </w:rPr>
              <w:t>-004</w:t>
            </w:r>
          </w:p>
        </w:tc>
      </w:tr>
      <w:tr w:rsidR="00E309BE" w14:paraId="5D2E4A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D2E49FD" w14:textId="77777777" w:rsidR="00E309BE" w:rsidRDefault="00E309BE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9FE" w14:textId="77777777" w:rsidR="00E309BE" w:rsidRDefault="00343E5A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9FF" w14:textId="77777777" w:rsidR="00E309BE" w:rsidRDefault="00343E5A">
            <w:r>
              <w:rPr>
                <w:sz w:val="16"/>
                <w:szCs w:val="16"/>
              </w:rPr>
              <w:t>11.05.2026</w:t>
            </w:r>
          </w:p>
        </w:tc>
      </w:tr>
      <w:tr w:rsidR="00E309BE" w14:paraId="5D2E4A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D2E4A01" w14:textId="77777777" w:rsidR="00E309BE" w:rsidRDefault="00E309BE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A02" w14:textId="77777777" w:rsidR="00E309BE" w:rsidRDefault="00343E5A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A03" w14:textId="77777777" w:rsidR="00E309BE" w:rsidRDefault="00E309BE"/>
        </w:tc>
      </w:tr>
      <w:tr w:rsidR="00E309BE" w14:paraId="5D2E4A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D2E4A05" w14:textId="77777777" w:rsidR="00E309BE" w:rsidRDefault="00E309BE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A06" w14:textId="77777777" w:rsidR="00E309BE" w:rsidRDefault="00343E5A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2E4A07" w14:textId="77777777" w:rsidR="00E309BE" w:rsidRDefault="00343E5A">
            <w:r>
              <w:rPr>
                <w:sz w:val="16"/>
                <w:szCs w:val="16"/>
              </w:rPr>
              <w:t>1/1</w:t>
            </w:r>
          </w:p>
        </w:tc>
      </w:tr>
    </w:tbl>
    <w:p w14:paraId="5D2E4A09" w14:textId="77777777" w:rsidR="00E309BE" w:rsidRDefault="00E309BE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309BE" w14:paraId="5D2E4A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0A" w14:textId="77777777" w:rsidR="00E309BE" w:rsidRDefault="00343E5A">
            <w:r>
              <w:rPr>
                <w:b/>
                <w:bCs/>
              </w:rPr>
              <w:t>Görev</w:t>
            </w:r>
          </w:p>
        </w:tc>
      </w:tr>
      <w:tr w:rsidR="00E309BE" w14:paraId="5D2E4A0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0C" w14:textId="77777777" w:rsidR="00E309BE" w:rsidRDefault="00343E5A">
            <w:pPr>
              <w:spacing w:after="40"/>
            </w:pPr>
            <w:r>
              <w:t xml:space="preserve">Bölüme yatay geçişle </w:t>
            </w:r>
            <w:proofErr w:type="gramStart"/>
            <w:r>
              <w:t>kayıt olmuş</w:t>
            </w:r>
            <w:proofErr w:type="gramEnd"/>
            <w:r>
              <w:t xml:space="preserve"> öğrencilerin intibak başvurularını değerlendirmek, önceki eğitim kurumlarından alınan derslerin geçerliliğini incelemek ve ders muafiyet işlemlerini yürütmektir.</w:t>
            </w:r>
          </w:p>
        </w:tc>
      </w:tr>
      <w:tr w:rsidR="00E309BE" w14:paraId="5D2E4A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0E" w14:textId="77777777" w:rsidR="00E309BE" w:rsidRDefault="00343E5A">
            <w:r>
              <w:rPr>
                <w:b/>
                <w:bCs/>
              </w:rPr>
              <w:t>Üstü</w:t>
            </w:r>
          </w:p>
        </w:tc>
      </w:tr>
      <w:tr w:rsidR="00E309BE" w14:paraId="5D2E4A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0" w14:textId="77777777" w:rsidR="00E309BE" w:rsidRDefault="00343E5A">
            <w:pPr>
              <w:spacing w:after="40"/>
            </w:pPr>
            <w:r>
              <w:t>Bölüm Başkanı</w:t>
            </w:r>
          </w:p>
        </w:tc>
      </w:tr>
      <w:tr w:rsidR="00E309BE" w14:paraId="5D2E4A1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2" w14:textId="77777777" w:rsidR="00E309BE" w:rsidRDefault="00343E5A">
            <w:r>
              <w:rPr>
                <w:b/>
                <w:bCs/>
              </w:rPr>
              <w:t>Vekili</w:t>
            </w:r>
          </w:p>
        </w:tc>
      </w:tr>
      <w:tr w:rsidR="00E309BE" w14:paraId="5D2E4A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4" w14:textId="77777777" w:rsidR="00E309BE" w:rsidRDefault="00343E5A">
            <w:pPr>
              <w:spacing w:after="40"/>
            </w:pPr>
            <w:r>
              <w:t>Komisyon Başkanı</w:t>
            </w:r>
          </w:p>
        </w:tc>
      </w:tr>
      <w:tr w:rsidR="00E309BE" w14:paraId="5D2E4A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6" w14:textId="77777777" w:rsidR="00E309BE" w:rsidRDefault="00343E5A">
            <w:r>
              <w:rPr>
                <w:b/>
                <w:bCs/>
              </w:rPr>
              <w:t>Nitelikler</w:t>
            </w:r>
          </w:p>
        </w:tc>
      </w:tr>
      <w:tr w:rsidR="00E309BE" w14:paraId="5D2E4A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8" w14:textId="77777777" w:rsidR="00E309BE" w:rsidRDefault="00343E5A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5D2E4A19" w14:textId="77777777" w:rsidR="00E309BE" w:rsidRDefault="00343E5A">
            <w:pPr>
              <w:spacing w:after="30"/>
              <w:ind w:left="360" w:hanging="200"/>
            </w:pPr>
            <w:r>
              <w:t xml:space="preserve">● Ders içerikleri ve </w:t>
            </w:r>
            <w:proofErr w:type="spellStart"/>
            <w:r>
              <w:t>AKTS</w:t>
            </w:r>
            <w:proofErr w:type="spellEnd"/>
            <w:r>
              <w:t xml:space="preserve"> kredilendirme sistemi hakkında bilgi sahibi olmak.</w:t>
            </w:r>
          </w:p>
          <w:p w14:paraId="5D2E4A1A" w14:textId="77777777" w:rsidR="00E309BE" w:rsidRDefault="00343E5A">
            <w:pPr>
              <w:spacing w:after="30"/>
              <w:ind w:left="360" w:hanging="200"/>
            </w:pPr>
            <w:r>
              <w:t>● Yatay geçiş ve intibak süreçlerine hâkim olmak.</w:t>
            </w:r>
          </w:p>
        </w:tc>
      </w:tr>
      <w:tr w:rsidR="00E309BE" w14:paraId="5D2E4A1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C" w14:textId="77777777" w:rsidR="00E309BE" w:rsidRDefault="00343E5A">
            <w:r>
              <w:rPr>
                <w:b/>
                <w:bCs/>
              </w:rPr>
              <w:t>İlgili Mevzuat</w:t>
            </w:r>
          </w:p>
        </w:tc>
      </w:tr>
      <w:tr w:rsidR="00E309BE" w14:paraId="5D2E4A2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1E" w14:textId="77777777" w:rsidR="00E309BE" w:rsidRDefault="00343E5A">
            <w:pPr>
              <w:spacing w:after="30"/>
              <w:ind w:left="360" w:hanging="200"/>
            </w:pPr>
            <w:r>
              <w:t xml:space="preserve">● Yükseköğretim Kurumlarında </w:t>
            </w:r>
            <w:proofErr w:type="spellStart"/>
            <w:r>
              <w:t>Önlisans</w:t>
            </w:r>
            <w:proofErr w:type="spellEnd"/>
            <w:r>
              <w:t xml:space="preserve"> ve Lisans Düzeyindeki Programlar Arasında Geçiş Yönetmeliği</w:t>
            </w:r>
          </w:p>
          <w:p w14:paraId="5D2E4A1F" w14:textId="77777777" w:rsidR="00E309BE" w:rsidRDefault="00343E5A">
            <w:pPr>
              <w:spacing w:after="30"/>
              <w:ind w:left="360" w:hanging="200"/>
            </w:pPr>
            <w:r>
              <w:t>● Iğdır Üniversitesi Yatay Geçiş Yönergesi</w:t>
            </w:r>
          </w:p>
          <w:p w14:paraId="5D2E4A20" w14:textId="77777777" w:rsidR="00E309BE" w:rsidRDefault="00343E5A">
            <w:pPr>
              <w:spacing w:after="30"/>
              <w:ind w:left="360" w:hanging="200"/>
            </w:pPr>
            <w:r>
              <w:t>● Iğdır Üniversitesi Muafiyet ve İntibak Yönergesi</w:t>
            </w:r>
          </w:p>
        </w:tc>
      </w:tr>
      <w:tr w:rsidR="00E309BE" w14:paraId="5D2E4A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22" w14:textId="77777777" w:rsidR="00E309BE" w:rsidRDefault="00343E5A">
            <w:r>
              <w:rPr>
                <w:b/>
                <w:bCs/>
              </w:rPr>
              <w:t>Görev ve Sorumluluklar</w:t>
            </w:r>
          </w:p>
        </w:tc>
      </w:tr>
      <w:tr w:rsidR="00E309BE" w14:paraId="5D2E4A2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24" w14:textId="77777777" w:rsidR="00E309BE" w:rsidRDefault="00343E5A">
            <w:pPr>
              <w:spacing w:after="30"/>
              <w:ind w:left="360" w:hanging="200"/>
            </w:pPr>
            <w:r>
              <w:t>● Yatay geçiş öğrencilerinin intibak başvurularını ilgili mevzuat çerçevesinde değerlendirmek.</w:t>
            </w:r>
          </w:p>
          <w:p w14:paraId="5D2E4A25" w14:textId="77777777" w:rsidR="00E309BE" w:rsidRDefault="00343E5A">
            <w:pPr>
              <w:spacing w:after="30"/>
              <w:ind w:left="360" w:hanging="200"/>
            </w:pPr>
            <w:r>
              <w:t xml:space="preserve">● Önceki kurumlardan alınan derslerin içerik ve </w:t>
            </w:r>
            <w:proofErr w:type="spellStart"/>
            <w:r>
              <w:t>AKTS</w:t>
            </w:r>
            <w:proofErr w:type="spellEnd"/>
            <w:r>
              <w:t xml:space="preserve"> bazında eşdeğerliğini incelemek.</w:t>
            </w:r>
          </w:p>
          <w:p w14:paraId="5D2E4A26" w14:textId="77777777" w:rsidR="00E309BE" w:rsidRDefault="00343E5A">
            <w:pPr>
              <w:spacing w:after="30"/>
              <w:ind w:left="360" w:hanging="200"/>
            </w:pPr>
            <w:r>
              <w:t>● Ders muafiyet kararlarını vermek, gerekçelendirmek ve kayıt altına almak.</w:t>
            </w:r>
          </w:p>
          <w:p w14:paraId="5D2E4A27" w14:textId="77777777" w:rsidR="00E309BE" w:rsidRDefault="00343E5A">
            <w:pPr>
              <w:spacing w:after="30"/>
              <w:ind w:left="360" w:hanging="200"/>
            </w:pPr>
            <w:r>
              <w:t>● Muafiyet sonuçlarını öğrenci işlerine zamanında bildirmek.</w:t>
            </w:r>
          </w:p>
          <w:p w14:paraId="5D2E4A28" w14:textId="77777777" w:rsidR="00E309BE" w:rsidRDefault="00343E5A">
            <w:pPr>
              <w:spacing w:after="30"/>
              <w:ind w:left="360" w:hanging="200"/>
            </w:pPr>
            <w:r>
              <w:t xml:space="preserve">● Çift Anadal ve </w:t>
            </w:r>
            <w:proofErr w:type="spellStart"/>
            <w:r>
              <w:t>Yandal</w:t>
            </w:r>
            <w:proofErr w:type="spellEnd"/>
            <w:r>
              <w:t xml:space="preserve"> programlarına kayıtlı öğrencilerin intibak işlemlerini yürütmek.</w:t>
            </w:r>
          </w:p>
          <w:p w14:paraId="5D2E4A29" w14:textId="77777777" w:rsidR="00E309BE" w:rsidRDefault="00343E5A">
            <w:pPr>
              <w:spacing w:after="30"/>
              <w:ind w:left="360" w:hanging="200"/>
            </w:pPr>
            <w:r>
              <w:t>● DGS (Dikey Geçiş Sınavı) ile gelen öğrencilerin intibak ve muafiyet süreçlerini yönetmek.</w:t>
            </w:r>
          </w:p>
          <w:p w14:paraId="5D2E4A2A" w14:textId="77777777" w:rsidR="00E309BE" w:rsidRDefault="00343E5A">
            <w:pPr>
              <w:spacing w:after="30"/>
              <w:ind w:left="360" w:hanging="200"/>
            </w:pPr>
            <w:r>
              <w:t>● İntibak kararlarına yapılan itirazları değerlendirmek ve sonuçlandırmak.</w:t>
            </w:r>
          </w:p>
          <w:p w14:paraId="5D2E4A2B" w14:textId="77777777" w:rsidR="00E309BE" w:rsidRDefault="00343E5A">
            <w:pPr>
              <w:spacing w:after="30"/>
              <w:ind w:left="360" w:hanging="200"/>
            </w:pPr>
            <w:r>
              <w:t>● Muafiyet istatistiklerini dönemlik olarak derleyerek Bölüm Kuruluna sunmak.</w:t>
            </w:r>
          </w:p>
          <w:p w14:paraId="5D2E4A2C" w14:textId="77777777" w:rsidR="00E309BE" w:rsidRDefault="00343E5A">
            <w:pPr>
              <w:spacing w:after="30"/>
              <w:ind w:left="360" w:hanging="200"/>
            </w:pPr>
            <w:r>
              <w:t>● Ders eşdeğerlilik tablolarını oluşturmak ve güncel tutmak.</w:t>
            </w:r>
          </w:p>
          <w:p w14:paraId="5D2E4A2D" w14:textId="77777777" w:rsidR="00E309BE" w:rsidRDefault="00343E5A">
            <w:pPr>
              <w:spacing w:after="30"/>
              <w:ind w:left="360" w:hanging="200"/>
            </w:pPr>
            <w:r>
              <w:t>● Kurumlararası ders uyum protokollerinin oluşturulmasına katkı sağlamak.</w:t>
            </w:r>
          </w:p>
          <w:p w14:paraId="5D2E4A2E" w14:textId="77777777" w:rsidR="00E309BE" w:rsidRDefault="00343E5A">
            <w:pPr>
              <w:spacing w:after="30"/>
              <w:ind w:left="360" w:hanging="200"/>
            </w:pPr>
            <w:r>
              <w:t>● Erasmus/Farabi/</w:t>
            </w:r>
            <w:proofErr w:type="gramStart"/>
            <w:r>
              <w:t>Mevlana</w:t>
            </w:r>
            <w:proofErr w:type="gramEnd"/>
            <w:r>
              <w:t xml:space="preserve"> dönüşü yapılan intibak işlemlerinde ilgili komisyonla koordineli çalışmak.</w:t>
            </w:r>
          </w:p>
        </w:tc>
      </w:tr>
      <w:tr w:rsidR="00E309BE" w14:paraId="5D2E4A3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0" w14:textId="77777777" w:rsidR="00E309BE" w:rsidRDefault="00343E5A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E309BE" w14:paraId="5D2E4A3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2" w14:textId="77777777" w:rsidR="00E309BE" w:rsidRDefault="00343E5A">
            <w:pPr>
              <w:spacing w:after="30"/>
              <w:ind w:left="360" w:hanging="200"/>
            </w:pPr>
            <w:r>
              <w:t>● İntibak süreçlerinin şeffaf, adil ve tutarlı yürütülmesini sağlamak.</w:t>
            </w:r>
          </w:p>
          <w:p w14:paraId="5D2E4A33" w14:textId="77777777" w:rsidR="00E309BE" w:rsidRDefault="00343E5A">
            <w:pPr>
              <w:spacing w:after="30"/>
              <w:ind w:left="360" w:hanging="200"/>
            </w:pPr>
            <w:r>
              <w:t xml:space="preserve">● İntibak kararlarını gerekçeleri </w:t>
            </w:r>
            <w:proofErr w:type="gramStart"/>
            <w:r>
              <w:t>ile birlikte</w:t>
            </w:r>
            <w:proofErr w:type="gramEnd"/>
            <w:r>
              <w:t xml:space="preserve"> belgelemek ve arşivlemek.</w:t>
            </w:r>
          </w:p>
          <w:p w14:paraId="5D2E4A34" w14:textId="77777777" w:rsidR="00E309BE" w:rsidRDefault="00343E5A">
            <w:pPr>
              <w:spacing w:after="30"/>
              <w:ind w:left="360" w:hanging="200"/>
            </w:pPr>
            <w:r>
              <w:t>● Muafiyet sürecine ilişkin istatistikleri periyodik olarak raporlamak.</w:t>
            </w:r>
          </w:p>
          <w:p w14:paraId="5D2E4A35" w14:textId="77777777" w:rsidR="00E309BE" w:rsidRDefault="00343E5A">
            <w:pPr>
              <w:spacing w:after="30"/>
              <w:ind w:left="360" w:hanging="200"/>
            </w:pPr>
            <w:r>
              <w:t>● İtiraz süreçlerinin mevzuata uygun yürütüldüğünü izlemek.</w:t>
            </w:r>
          </w:p>
        </w:tc>
      </w:tr>
    </w:tbl>
    <w:p w14:paraId="5D2E4A37" w14:textId="77777777" w:rsidR="00E309BE" w:rsidRDefault="00E309BE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E309BE" w14:paraId="5D2E4A3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8" w14:textId="77777777" w:rsidR="00E309BE" w:rsidRDefault="00343E5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9" w14:textId="77777777" w:rsidR="00E309BE" w:rsidRDefault="00343E5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A" w14:textId="77777777" w:rsidR="00E309BE" w:rsidRDefault="00343E5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A70161" w14:paraId="5D2E4A4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C" w14:textId="794A61F2" w:rsidR="00A70161" w:rsidRDefault="00A70161" w:rsidP="00A70161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E" w14:textId="4E54A19E" w:rsidR="00A70161" w:rsidRDefault="00A70161" w:rsidP="00A70161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2E4A3F" w14:textId="7BA0A1C1" w:rsidR="00A70161" w:rsidRDefault="00A70161" w:rsidP="00A70161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5D2E4A41" w14:textId="77777777" w:rsidR="00343E5A" w:rsidRDefault="00343E5A"/>
    <w:sectPr w:rsidR="00343E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2CA3"/>
    <w:multiLevelType w:val="hybridMultilevel"/>
    <w:tmpl w:val="4F0624CA"/>
    <w:lvl w:ilvl="0" w:tplc="A53C7010">
      <w:start w:val="1"/>
      <w:numFmt w:val="bullet"/>
      <w:lvlText w:val="●"/>
      <w:lvlJc w:val="left"/>
      <w:pPr>
        <w:ind w:left="720" w:hanging="360"/>
      </w:pPr>
    </w:lvl>
    <w:lvl w:ilvl="1" w:tplc="8586F34C">
      <w:start w:val="1"/>
      <w:numFmt w:val="bullet"/>
      <w:lvlText w:val="○"/>
      <w:lvlJc w:val="left"/>
      <w:pPr>
        <w:ind w:left="1440" w:hanging="360"/>
      </w:pPr>
    </w:lvl>
    <w:lvl w:ilvl="2" w:tplc="72D26CE4">
      <w:start w:val="1"/>
      <w:numFmt w:val="bullet"/>
      <w:lvlText w:val="■"/>
      <w:lvlJc w:val="left"/>
      <w:pPr>
        <w:ind w:left="2160" w:hanging="360"/>
      </w:pPr>
    </w:lvl>
    <w:lvl w:ilvl="3" w:tplc="CEA05CE0">
      <w:start w:val="1"/>
      <w:numFmt w:val="bullet"/>
      <w:lvlText w:val="●"/>
      <w:lvlJc w:val="left"/>
      <w:pPr>
        <w:ind w:left="2880" w:hanging="360"/>
      </w:pPr>
    </w:lvl>
    <w:lvl w:ilvl="4" w:tplc="9204374E">
      <w:start w:val="1"/>
      <w:numFmt w:val="bullet"/>
      <w:lvlText w:val="○"/>
      <w:lvlJc w:val="left"/>
      <w:pPr>
        <w:ind w:left="3600" w:hanging="360"/>
      </w:pPr>
    </w:lvl>
    <w:lvl w:ilvl="5" w:tplc="1034D9F6">
      <w:start w:val="1"/>
      <w:numFmt w:val="bullet"/>
      <w:lvlText w:val="■"/>
      <w:lvlJc w:val="left"/>
      <w:pPr>
        <w:ind w:left="4320" w:hanging="360"/>
      </w:pPr>
    </w:lvl>
    <w:lvl w:ilvl="6" w:tplc="6D0A7054">
      <w:start w:val="1"/>
      <w:numFmt w:val="bullet"/>
      <w:lvlText w:val="●"/>
      <w:lvlJc w:val="left"/>
      <w:pPr>
        <w:ind w:left="5040" w:hanging="360"/>
      </w:pPr>
    </w:lvl>
    <w:lvl w:ilvl="7" w:tplc="E1B0CAA8">
      <w:start w:val="1"/>
      <w:numFmt w:val="bullet"/>
      <w:lvlText w:val="●"/>
      <w:lvlJc w:val="left"/>
      <w:pPr>
        <w:ind w:left="5760" w:hanging="360"/>
      </w:pPr>
    </w:lvl>
    <w:lvl w:ilvl="8" w:tplc="2C5C1496">
      <w:start w:val="1"/>
      <w:numFmt w:val="bullet"/>
      <w:lvlText w:val="●"/>
      <w:lvlJc w:val="left"/>
      <w:pPr>
        <w:ind w:left="6480" w:hanging="360"/>
      </w:pPr>
    </w:lvl>
  </w:abstractNum>
  <w:num w:numId="1" w16cid:durableId="9825415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BE"/>
    <w:rsid w:val="00343E5A"/>
    <w:rsid w:val="00A70161"/>
    <w:rsid w:val="00A72DB8"/>
    <w:rsid w:val="00E3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49F6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2026-05-13T12:01:00Z</dcterms:modified>
</cp:coreProperties>
</file>