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920484" w14:paraId="051BFFD0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1BFFCA" w14:textId="77777777" w:rsidR="00920484" w:rsidRDefault="00462E24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051BFFCB" w14:textId="068F0A88" w:rsidR="00920484" w:rsidRDefault="00B32A75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462E24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051BFFCC" w14:textId="77777777" w:rsidR="00920484" w:rsidRDefault="00462E24">
            <w:pPr>
              <w:spacing w:after="60"/>
              <w:jc w:val="center"/>
            </w:pPr>
            <w:r>
              <w:rPr>
                <w:b/>
                <w:bCs/>
              </w:rPr>
              <w:t>ERASMUS/FARABİ/</w:t>
            </w:r>
            <w:proofErr w:type="gramStart"/>
            <w:r>
              <w:rPr>
                <w:b/>
                <w:bCs/>
              </w:rPr>
              <w:t>MEVLANA</w:t>
            </w:r>
            <w:proofErr w:type="gramEnd"/>
            <w:r>
              <w:rPr>
                <w:b/>
                <w:bCs/>
              </w:rPr>
              <w:t xml:space="preserve"> KOMİSYONU</w:t>
            </w:r>
          </w:p>
          <w:p w14:paraId="051BFFCD" w14:textId="77777777" w:rsidR="00920484" w:rsidRDefault="00462E24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1BFFCE" w14:textId="77777777" w:rsidR="00920484" w:rsidRDefault="00462E24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1BFFCF" w14:textId="0F6F8128" w:rsidR="00920484" w:rsidRDefault="00B32A75">
            <w:r>
              <w:rPr>
                <w:sz w:val="16"/>
                <w:szCs w:val="16"/>
              </w:rPr>
              <w:t>HAV</w:t>
            </w:r>
            <w:r w:rsidR="00462E24">
              <w:rPr>
                <w:sz w:val="16"/>
                <w:szCs w:val="16"/>
              </w:rPr>
              <w:t>-</w:t>
            </w:r>
            <w:proofErr w:type="spellStart"/>
            <w:r w:rsidR="00462E24">
              <w:rPr>
                <w:sz w:val="16"/>
                <w:szCs w:val="16"/>
              </w:rPr>
              <w:t>GT</w:t>
            </w:r>
            <w:proofErr w:type="spellEnd"/>
            <w:r w:rsidR="00462E24">
              <w:rPr>
                <w:sz w:val="16"/>
                <w:szCs w:val="16"/>
              </w:rPr>
              <w:t>-009</w:t>
            </w:r>
          </w:p>
        </w:tc>
      </w:tr>
      <w:tr w:rsidR="00920484" w14:paraId="051BFF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51BFFD1" w14:textId="77777777" w:rsidR="00920484" w:rsidRDefault="00920484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1BFFD2" w14:textId="77777777" w:rsidR="00920484" w:rsidRDefault="00462E24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1BFFD3" w14:textId="77777777" w:rsidR="00920484" w:rsidRDefault="00462E24">
            <w:r>
              <w:rPr>
                <w:sz w:val="16"/>
                <w:szCs w:val="16"/>
              </w:rPr>
              <w:t>11.05.2026</w:t>
            </w:r>
          </w:p>
        </w:tc>
      </w:tr>
      <w:tr w:rsidR="00920484" w14:paraId="051BFF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51BFFD5" w14:textId="77777777" w:rsidR="00920484" w:rsidRDefault="00920484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1BFFD6" w14:textId="77777777" w:rsidR="00920484" w:rsidRDefault="00462E24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1BFFD7" w14:textId="77777777" w:rsidR="00920484" w:rsidRDefault="00920484"/>
        </w:tc>
      </w:tr>
      <w:tr w:rsidR="00920484" w14:paraId="051BFF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51BFFD9" w14:textId="77777777" w:rsidR="00920484" w:rsidRDefault="00920484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1BFFDA" w14:textId="77777777" w:rsidR="00920484" w:rsidRDefault="00462E24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1BFFDB" w14:textId="77777777" w:rsidR="00920484" w:rsidRDefault="00462E24">
            <w:r>
              <w:rPr>
                <w:sz w:val="16"/>
                <w:szCs w:val="16"/>
              </w:rPr>
              <w:t>1/1</w:t>
            </w:r>
          </w:p>
        </w:tc>
      </w:tr>
    </w:tbl>
    <w:p w14:paraId="051BFFDD" w14:textId="77777777" w:rsidR="00920484" w:rsidRDefault="00920484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20484" w14:paraId="051BFFD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BFFDE" w14:textId="77777777" w:rsidR="00920484" w:rsidRDefault="00462E24">
            <w:r>
              <w:rPr>
                <w:b/>
                <w:bCs/>
              </w:rPr>
              <w:t>Görev</w:t>
            </w:r>
          </w:p>
        </w:tc>
      </w:tr>
      <w:tr w:rsidR="00920484" w14:paraId="051BFFE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BFFE0" w14:textId="77777777" w:rsidR="00920484" w:rsidRDefault="00462E24">
            <w:pPr>
              <w:spacing w:after="40"/>
            </w:pPr>
            <w:r>
              <w:t>Öğrenci ve öğretim üyesi değişim programlarının koordinasyonu, başvuruların değerlendirilmesi, tanınma ve intibak süreçlerinin yürütülmesi; uluslararasılaşma hedeflerinin stratejik plan doğrultusunda gerçekleştirilmesidir.</w:t>
            </w:r>
          </w:p>
        </w:tc>
      </w:tr>
      <w:tr w:rsidR="00920484" w14:paraId="051BFFE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BFFE2" w14:textId="77777777" w:rsidR="00920484" w:rsidRDefault="00462E24">
            <w:r>
              <w:rPr>
                <w:b/>
                <w:bCs/>
              </w:rPr>
              <w:t>Üstü</w:t>
            </w:r>
          </w:p>
        </w:tc>
      </w:tr>
      <w:tr w:rsidR="00920484" w14:paraId="051BFFE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BFFE4" w14:textId="77777777" w:rsidR="00920484" w:rsidRDefault="00462E24">
            <w:pPr>
              <w:spacing w:after="40"/>
            </w:pPr>
            <w:r>
              <w:t>Bölüm Başkanı</w:t>
            </w:r>
          </w:p>
        </w:tc>
      </w:tr>
      <w:tr w:rsidR="00920484" w14:paraId="051BFFE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BFFE6" w14:textId="77777777" w:rsidR="00920484" w:rsidRDefault="00462E24">
            <w:r>
              <w:rPr>
                <w:b/>
                <w:bCs/>
              </w:rPr>
              <w:t>Vekili</w:t>
            </w:r>
          </w:p>
        </w:tc>
      </w:tr>
      <w:tr w:rsidR="00920484" w14:paraId="051BFFE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BFFE8" w14:textId="77777777" w:rsidR="00920484" w:rsidRDefault="00462E24">
            <w:pPr>
              <w:spacing w:after="40"/>
            </w:pPr>
            <w:r>
              <w:t>Komisyon Başkanı</w:t>
            </w:r>
          </w:p>
        </w:tc>
      </w:tr>
      <w:tr w:rsidR="00920484" w14:paraId="051BFFE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BFFEA" w14:textId="77777777" w:rsidR="00920484" w:rsidRDefault="00462E24">
            <w:r>
              <w:rPr>
                <w:b/>
                <w:bCs/>
              </w:rPr>
              <w:t>Nitelikler</w:t>
            </w:r>
          </w:p>
        </w:tc>
      </w:tr>
      <w:tr w:rsidR="00920484" w14:paraId="051BFFE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BFFEC" w14:textId="77777777" w:rsidR="00920484" w:rsidRDefault="00462E24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14:paraId="051BFFED" w14:textId="77777777" w:rsidR="00920484" w:rsidRDefault="00462E24">
            <w:pPr>
              <w:spacing w:after="30"/>
              <w:ind w:left="360" w:hanging="200"/>
            </w:pPr>
            <w:r>
              <w:t xml:space="preserve">● Uluslararası değişim programları ve </w:t>
            </w:r>
            <w:proofErr w:type="spellStart"/>
            <w:r>
              <w:t>AKTS</w:t>
            </w:r>
            <w:proofErr w:type="spellEnd"/>
            <w:r>
              <w:t xml:space="preserve"> transfer sistemi hakkında bilgi sahibi olmak.</w:t>
            </w:r>
          </w:p>
          <w:p w14:paraId="051BFFEE" w14:textId="77777777" w:rsidR="00920484" w:rsidRDefault="00462E24">
            <w:pPr>
              <w:spacing w:after="30"/>
              <w:ind w:left="360" w:hanging="200"/>
            </w:pPr>
            <w:r>
              <w:t xml:space="preserve">● Eğitim İhtiyaç </w:t>
            </w:r>
            <w:proofErr w:type="spellStart"/>
            <w:r>
              <w:t>Analizi'nde</w:t>
            </w:r>
            <w:proofErr w:type="spellEnd"/>
            <w:r>
              <w:t xml:space="preserve"> YÜKSEK öncelikli bulunan uluslararasılaşma konusunda bilgi sahibi olmak.</w:t>
            </w:r>
          </w:p>
        </w:tc>
      </w:tr>
      <w:tr w:rsidR="00920484" w14:paraId="051BFFF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BFFF0" w14:textId="77777777" w:rsidR="00920484" w:rsidRDefault="00462E24">
            <w:r>
              <w:rPr>
                <w:b/>
                <w:bCs/>
              </w:rPr>
              <w:t>İlgili Mevzuat</w:t>
            </w:r>
          </w:p>
        </w:tc>
      </w:tr>
      <w:tr w:rsidR="00920484" w14:paraId="051BFFF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BFFF2" w14:textId="77777777" w:rsidR="00920484" w:rsidRDefault="00462E24">
            <w:pPr>
              <w:spacing w:after="30"/>
              <w:ind w:left="360" w:hanging="200"/>
            </w:pPr>
            <w:r>
              <w:t>● Erasmus+ Program Rehberi</w:t>
            </w:r>
          </w:p>
          <w:p w14:paraId="051BFFF3" w14:textId="77777777" w:rsidR="00920484" w:rsidRDefault="00462E24">
            <w:pPr>
              <w:spacing w:after="30"/>
              <w:ind w:left="360" w:hanging="200"/>
            </w:pPr>
            <w:r>
              <w:t>● Farabi Değişim Programı Yönetmeliği</w:t>
            </w:r>
          </w:p>
          <w:p w14:paraId="051BFFF4" w14:textId="77777777" w:rsidR="00920484" w:rsidRDefault="00462E24">
            <w:pPr>
              <w:spacing w:after="30"/>
              <w:ind w:left="360" w:hanging="200"/>
            </w:pPr>
            <w:r>
              <w:t xml:space="preserve">● </w:t>
            </w:r>
            <w:proofErr w:type="gramStart"/>
            <w:r>
              <w:t>Mevlana</w:t>
            </w:r>
            <w:proofErr w:type="gramEnd"/>
            <w:r>
              <w:t xml:space="preserve"> Değişim Programı Yönetmeliği</w:t>
            </w:r>
          </w:p>
          <w:p w14:paraId="051BFFF5" w14:textId="77777777" w:rsidR="00920484" w:rsidRDefault="00462E24">
            <w:pPr>
              <w:spacing w:after="30"/>
              <w:ind w:left="360" w:hanging="200"/>
            </w:pPr>
            <w:r>
              <w:t>● Iğdır Üniversitesi Uluslararası İlişkiler Yönergesi</w:t>
            </w:r>
          </w:p>
        </w:tc>
      </w:tr>
      <w:tr w:rsidR="00920484" w14:paraId="051BFFF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BFFF7" w14:textId="77777777" w:rsidR="00920484" w:rsidRDefault="00462E24">
            <w:r>
              <w:rPr>
                <w:b/>
                <w:bCs/>
              </w:rPr>
              <w:t>Görev ve Sorumluluklar</w:t>
            </w:r>
          </w:p>
        </w:tc>
      </w:tr>
      <w:tr w:rsidR="00920484" w14:paraId="051C000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BFFF9" w14:textId="77777777" w:rsidR="00920484" w:rsidRDefault="00462E24">
            <w:pPr>
              <w:spacing w:after="30"/>
              <w:ind w:left="360" w:hanging="200"/>
            </w:pPr>
            <w:r>
              <w:t xml:space="preserve">● Erasmus+, Farabi ve </w:t>
            </w:r>
            <w:proofErr w:type="gramStart"/>
            <w:r>
              <w:t>Mevlana</w:t>
            </w:r>
            <w:proofErr w:type="gramEnd"/>
            <w:r>
              <w:t xml:space="preserve"> değişim programlarına başvuran öğrencileri değerlendirmek ve seçim sürecini yürütmek.</w:t>
            </w:r>
          </w:p>
          <w:p w14:paraId="051BFFFA" w14:textId="77777777" w:rsidR="00920484" w:rsidRDefault="00462E24">
            <w:pPr>
              <w:spacing w:after="30"/>
              <w:ind w:left="360" w:hanging="200"/>
            </w:pPr>
            <w:r>
              <w:t xml:space="preserve">● Öğrenme anlaşmalarını (Learning </w:t>
            </w:r>
            <w:proofErr w:type="spellStart"/>
            <w:r>
              <w:t>Agreement</w:t>
            </w:r>
            <w:proofErr w:type="spellEnd"/>
            <w:r>
              <w:t>) hazırlamak, kontrol etmek ve onaylamak.</w:t>
            </w:r>
          </w:p>
          <w:p w14:paraId="051BFFFB" w14:textId="77777777" w:rsidR="00920484" w:rsidRDefault="00462E24">
            <w:pPr>
              <w:spacing w:after="30"/>
              <w:ind w:left="360" w:hanging="200"/>
            </w:pPr>
            <w:r>
              <w:t>● Gelen ve giden öğrencilerin ders eşdeğerliklerini belirlemek ve intibak işlemlerini yürütmek.</w:t>
            </w:r>
          </w:p>
          <w:p w14:paraId="051BFFFC" w14:textId="77777777" w:rsidR="00920484" w:rsidRDefault="00462E24">
            <w:pPr>
              <w:spacing w:after="30"/>
              <w:ind w:left="360" w:hanging="200"/>
            </w:pPr>
            <w:r>
              <w:t>● Değişim programlarının bölüm düzeyinde tanıtımını yapmak ve öğrencileri bilgilendirmek.</w:t>
            </w:r>
          </w:p>
          <w:p w14:paraId="051BFFFD" w14:textId="77777777" w:rsidR="00920484" w:rsidRDefault="00462E24">
            <w:pPr>
              <w:spacing w:after="30"/>
              <w:ind w:left="360" w:hanging="200"/>
            </w:pPr>
            <w:r>
              <w:t>● Uluslararası İlişkiler Koordinatörlüğü ile koordineli çalışmak.</w:t>
            </w:r>
          </w:p>
          <w:p w14:paraId="051BFFFE" w14:textId="77777777" w:rsidR="00920484" w:rsidRDefault="00462E24">
            <w:pPr>
              <w:spacing w:after="30"/>
              <w:ind w:left="360" w:hanging="200"/>
            </w:pPr>
            <w:r>
              <w:t>● Giden öğrencilerin dönüş sonrası not transfer ve intibak işlemlerini tamamlamak.</w:t>
            </w:r>
          </w:p>
          <w:p w14:paraId="051BFFFF" w14:textId="77777777" w:rsidR="00920484" w:rsidRDefault="00462E24">
            <w:pPr>
              <w:spacing w:after="30"/>
              <w:ind w:left="360" w:hanging="200"/>
            </w:pPr>
            <w:r>
              <w:t>● Gelen değişim öğrencilerine akademik danışmanlık ve oryantasyon desteği sağlamak.</w:t>
            </w:r>
          </w:p>
          <w:p w14:paraId="051C0000" w14:textId="77777777" w:rsidR="00920484" w:rsidRDefault="00462E24">
            <w:pPr>
              <w:spacing w:after="30"/>
              <w:ind w:left="360" w:hanging="200"/>
            </w:pPr>
            <w:r>
              <w:t>● Değişim programı anlaşmalarının yenilenmesi ve yeni anlaşma olanaklarının araştırılması için öneriler sunmak.</w:t>
            </w:r>
          </w:p>
          <w:p w14:paraId="051C0001" w14:textId="77777777" w:rsidR="00920484" w:rsidRDefault="00462E24">
            <w:pPr>
              <w:spacing w:after="30"/>
              <w:ind w:left="360" w:hanging="200"/>
            </w:pPr>
            <w:r>
              <w:t>● Öğretim üyesi hareketliliğini teşvik etmek ve başvuru süreçlerini koordine etmek.</w:t>
            </w:r>
          </w:p>
          <w:p w14:paraId="051C0002" w14:textId="77777777" w:rsidR="00920484" w:rsidRDefault="00462E24">
            <w:pPr>
              <w:spacing w:after="30"/>
              <w:ind w:left="360" w:hanging="200"/>
            </w:pPr>
            <w:r>
              <w:t>● Değişim programı katılım istatistiklerini dönemlik olarak derlemek ve raporlamak.</w:t>
            </w:r>
          </w:p>
          <w:p w14:paraId="051C0003" w14:textId="77777777" w:rsidR="00920484" w:rsidRDefault="00462E24">
            <w:pPr>
              <w:spacing w:after="30"/>
              <w:ind w:left="360" w:hanging="200"/>
            </w:pPr>
            <w:r>
              <w:t xml:space="preserve">● Stratejik Plan hedefi doğrultusunda en az 2 Erasmus+ öğrenci hareketliliği ve 1 uluslararası </w:t>
            </w:r>
            <w:proofErr w:type="gramStart"/>
            <w:r>
              <w:t>işbirliği</w:t>
            </w:r>
            <w:proofErr w:type="gramEnd"/>
            <w:r>
              <w:t xml:space="preserve"> protokolü gerçekleştirmek (Hedef 1.4).</w:t>
            </w:r>
          </w:p>
          <w:p w14:paraId="051C0004" w14:textId="77777777" w:rsidR="00920484" w:rsidRDefault="00462E24">
            <w:pPr>
              <w:spacing w:after="30"/>
              <w:ind w:left="360" w:hanging="200"/>
            </w:pPr>
            <w:r>
              <w:t>● Iğdır'ın sınır bölgesi konumunu (</w:t>
            </w:r>
            <w:proofErr w:type="spellStart"/>
            <w:r>
              <w:t>SWOT</w:t>
            </w:r>
            <w:proofErr w:type="spellEnd"/>
            <w:r>
              <w:t xml:space="preserve"> </w:t>
            </w:r>
            <w:proofErr w:type="spellStart"/>
            <w:r>
              <w:t>F1</w:t>
            </w:r>
            <w:proofErr w:type="spellEnd"/>
            <w:r>
              <w:t>: Azerbaycan, İran, Nahçıvan) değerlendirerek bölgesel üniversitelerle ikili anlaşma fırsatları geliştirmek.</w:t>
            </w:r>
          </w:p>
          <w:p w14:paraId="051C0005" w14:textId="77777777" w:rsidR="00920484" w:rsidRDefault="00462E24">
            <w:pPr>
              <w:spacing w:after="30"/>
              <w:ind w:left="360" w:hanging="200"/>
            </w:pPr>
            <w:r>
              <w:t xml:space="preserve">● Uluslararası öğrenci potansiyelini (34 ülke, 600 </w:t>
            </w:r>
            <w:proofErr w:type="gramStart"/>
            <w:r>
              <w:t>öğrenci -</w:t>
            </w:r>
            <w:proofErr w:type="gramEnd"/>
            <w:r>
              <w:t xml:space="preserve"> </w:t>
            </w:r>
            <w:proofErr w:type="spellStart"/>
            <w:r>
              <w:t>SWOT</w:t>
            </w:r>
            <w:proofErr w:type="spellEnd"/>
            <w:r>
              <w:t xml:space="preserve"> </w:t>
            </w:r>
            <w:proofErr w:type="spellStart"/>
            <w:r>
              <w:t>F3</w:t>
            </w:r>
            <w:proofErr w:type="spellEnd"/>
            <w:r>
              <w:t>) bölüm düzeyinde değerlendirmek ve yabancı dilde ders açılmasına yönelik öneriler sunmak.</w:t>
            </w:r>
          </w:p>
        </w:tc>
      </w:tr>
      <w:tr w:rsidR="00920484" w14:paraId="051C000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C0007" w14:textId="77777777" w:rsidR="00920484" w:rsidRDefault="00462E24">
            <w:proofErr w:type="spellStart"/>
            <w:r>
              <w:rPr>
                <w:b/>
                <w:bCs/>
              </w:rPr>
              <w:t>KYS</w:t>
            </w:r>
            <w:proofErr w:type="spellEnd"/>
            <w:r>
              <w:rPr>
                <w:b/>
                <w:bCs/>
              </w:rPr>
              <w:t xml:space="preserve"> Kapsamında Görev ve Sorumluluklar</w:t>
            </w:r>
          </w:p>
        </w:tc>
      </w:tr>
      <w:tr w:rsidR="00920484" w14:paraId="051C000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C0009" w14:textId="77777777" w:rsidR="00920484" w:rsidRDefault="00462E24">
            <w:pPr>
              <w:spacing w:after="30"/>
              <w:ind w:left="360" w:hanging="200"/>
            </w:pPr>
            <w:r>
              <w:t xml:space="preserve">● Değişim programı süreçlerini </w:t>
            </w:r>
            <w:proofErr w:type="spellStart"/>
            <w:r>
              <w:t>KYS</w:t>
            </w:r>
            <w:proofErr w:type="spellEnd"/>
            <w:r>
              <w:t xml:space="preserve"> standartlarına uygun biçimde belgelemek.</w:t>
            </w:r>
          </w:p>
          <w:p w14:paraId="051C000A" w14:textId="77777777" w:rsidR="00920484" w:rsidRDefault="00462E24">
            <w:pPr>
              <w:spacing w:after="30"/>
              <w:ind w:left="360" w:hanging="200"/>
            </w:pPr>
            <w:r>
              <w:t>● Katılım istatistiklerini ve memnuniyet verilerini takip etmek ve raporlamak.</w:t>
            </w:r>
          </w:p>
          <w:p w14:paraId="051C000B" w14:textId="77777777" w:rsidR="00920484" w:rsidRDefault="00462E24">
            <w:pPr>
              <w:spacing w:after="30"/>
              <w:ind w:left="360" w:hanging="200"/>
            </w:pPr>
            <w:r>
              <w:t xml:space="preserve">● Program etkinliğini </w:t>
            </w:r>
            <w:proofErr w:type="spellStart"/>
            <w:r>
              <w:t>PUKÖ</w:t>
            </w:r>
            <w:proofErr w:type="spellEnd"/>
            <w:r>
              <w:t xml:space="preserve"> döngüsü çerçevesinde değerlendirmek ve iyileştirme önerileri sunmak.</w:t>
            </w:r>
          </w:p>
          <w:p w14:paraId="051C000C" w14:textId="77777777" w:rsidR="00920484" w:rsidRDefault="00462E24">
            <w:pPr>
              <w:spacing w:after="30"/>
              <w:ind w:left="360" w:hanging="200"/>
            </w:pPr>
            <w:r>
              <w:t>● Uluslararasılaşma hedeflerinin (Risk 9) gerçekleşme durumunu izlemek ve sapmaları raporlamak.</w:t>
            </w:r>
          </w:p>
        </w:tc>
      </w:tr>
    </w:tbl>
    <w:p w14:paraId="051C000E" w14:textId="77777777" w:rsidR="00920484" w:rsidRDefault="00920484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20484" w14:paraId="051C001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C000F" w14:textId="77777777" w:rsidR="00920484" w:rsidRDefault="00462E24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C0010" w14:textId="77777777" w:rsidR="00920484" w:rsidRDefault="00462E24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C0011" w14:textId="77777777" w:rsidR="00920484" w:rsidRDefault="00462E24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B32A75" w14:paraId="051C001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C0013" w14:textId="3A258715" w:rsidR="00B32A75" w:rsidRDefault="00B32A75" w:rsidP="00B32A75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C0015" w14:textId="621EAF77" w:rsidR="00B32A75" w:rsidRDefault="00B32A75" w:rsidP="00B32A75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1C0016" w14:textId="49B52D74" w:rsidR="00B32A75" w:rsidRDefault="00B32A75" w:rsidP="00B32A75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051C0018" w14:textId="77777777" w:rsidR="00462E24" w:rsidRDefault="00462E24"/>
    <w:sectPr w:rsidR="00462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4C1C"/>
    <w:multiLevelType w:val="hybridMultilevel"/>
    <w:tmpl w:val="0B868EDC"/>
    <w:lvl w:ilvl="0" w:tplc="3244DE12">
      <w:start w:val="1"/>
      <w:numFmt w:val="bullet"/>
      <w:lvlText w:val="●"/>
      <w:lvlJc w:val="left"/>
      <w:pPr>
        <w:ind w:left="720" w:hanging="360"/>
      </w:pPr>
    </w:lvl>
    <w:lvl w:ilvl="1" w:tplc="09C070C6">
      <w:start w:val="1"/>
      <w:numFmt w:val="bullet"/>
      <w:lvlText w:val="○"/>
      <w:lvlJc w:val="left"/>
      <w:pPr>
        <w:ind w:left="1440" w:hanging="360"/>
      </w:pPr>
    </w:lvl>
    <w:lvl w:ilvl="2" w:tplc="F5D22B1C">
      <w:start w:val="1"/>
      <w:numFmt w:val="bullet"/>
      <w:lvlText w:val="■"/>
      <w:lvlJc w:val="left"/>
      <w:pPr>
        <w:ind w:left="2160" w:hanging="360"/>
      </w:pPr>
    </w:lvl>
    <w:lvl w:ilvl="3" w:tplc="45EA8588">
      <w:start w:val="1"/>
      <w:numFmt w:val="bullet"/>
      <w:lvlText w:val="●"/>
      <w:lvlJc w:val="left"/>
      <w:pPr>
        <w:ind w:left="2880" w:hanging="360"/>
      </w:pPr>
    </w:lvl>
    <w:lvl w:ilvl="4" w:tplc="4D0C3804">
      <w:start w:val="1"/>
      <w:numFmt w:val="bullet"/>
      <w:lvlText w:val="○"/>
      <w:lvlJc w:val="left"/>
      <w:pPr>
        <w:ind w:left="3600" w:hanging="360"/>
      </w:pPr>
    </w:lvl>
    <w:lvl w:ilvl="5" w:tplc="6DE44406">
      <w:start w:val="1"/>
      <w:numFmt w:val="bullet"/>
      <w:lvlText w:val="■"/>
      <w:lvlJc w:val="left"/>
      <w:pPr>
        <w:ind w:left="4320" w:hanging="360"/>
      </w:pPr>
    </w:lvl>
    <w:lvl w:ilvl="6" w:tplc="219EF8EE">
      <w:start w:val="1"/>
      <w:numFmt w:val="bullet"/>
      <w:lvlText w:val="●"/>
      <w:lvlJc w:val="left"/>
      <w:pPr>
        <w:ind w:left="5040" w:hanging="360"/>
      </w:pPr>
    </w:lvl>
    <w:lvl w:ilvl="7" w:tplc="7CF8BE6C">
      <w:start w:val="1"/>
      <w:numFmt w:val="bullet"/>
      <w:lvlText w:val="●"/>
      <w:lvlJc w:val="left"/>
      <w:pPr>
        <w:ind w:left="5760" w:hanging="360"/>
      </w:pPr>
    </w:lvl>
    <w:lvl w:ilvl="8" w:tplc="D27ED076">
      <w:start w:val="1"/>
      <w:numFmt w:val="bullet"/>
      <w:lvlText w:val="●"/>
      <w:lvlJc w:val="left"/>
      <w:pPr>
        <w:ind w:left="6480" w:hanging="360"/>
      </w:pPr>
    </w:lvl>
  </w:abstractNum>
  <w:num w:numId="1" w16cid:durableId="20824868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484"/>
    <w:rsid w:val="00462E24"/>
    <w:rsid w:val="00920484"/>
    <w:rsid w:val="00A72DB8"/>
    <w:rsid w:val="00B3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FFCA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2</cp:revision>
  <dcterms:created xsi:type="dcterms:W3CDTF">2026-05-06T05:58:00Z</dcterms:created>
  <dcterms:modified xsi:type="dcterms:W3CDTF">2026-05-13T12:08:00Z</dcterms:modified>
</cp:coreProperties>
</file>